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4" w:rsidRPr="00715BD5" w:rsidRDefault="001B5944" w:rsidP="001B5944">
      <w:pPr>
        <w:pStyle w:val="Heading5"/>
        <w:jc w:val="center"/>
        <w:rPr>
          <w:i w:val="0"/>
          <w:sz w:val="32"/>
          <w:szCs w:val="32"/>
        </w:rPr>
      </w:pPr>
      <w:r>
        <w:rPr>
          <w:i w:val="0"/>
          <w:sz w:val="32"/>
          <w:szCs w:val="32"/>
        </w:rPr>
        <w:t>FORM ‘J’</w:t>
      </w:r>
    </w:p>
    <w:p w:rsidR="001B5944" w:rsidRDefault="001B5944" w:rsidP="001B5944">
      <w:pPr>
        <w:jc w:val="center"/>
        <w:rPr>
          <w:b/>
          <w:bCs/>
        </w:rPr>
      </w:pPr>
      <w:r>
        <w:rPr>
          <w:b/>
          <w:bCs/>
        </w:rPr>
        <w:t>[</w:t>
      </w:r>
      <w:r w:rsidRPr="00045337">
        <w:rPr>
          <w:bCs/>
          <w:i/>
        </w:rPr>
        <w:t>Article 3 of Schedule I</w:t>
      </w:r>
      <w:r>
        <w:rPr>
          <w:b/>
          <w:bCs/>
        </w:rPr>
        <w:t>]</w:t>
      </w:r>
    </w:p>
    <w:p w:rsidR="001B5944" w:rsidRDefault="001B5944" w:rsidP="001B5944">
      <w:pPr>
        <w:ind w:left="720"/>
        <w:jc w:val="center"/>
        <w:rPr>
          <w:b/>
          <w:bCs/>
        </w:rPr>
      </w:pPr>
    </w:p>
    <w:p w:rsidR="001B5944" w:rsidRDefault="001B5944" w:rsidP="001B5944">
      <w:pPr>
        <w:jc w:val="center"/>
        <w:rPr>
          <w:b/>
          <w:bCs/>
        </w:rPr>
      </w:pPr>
      <w:bookmarkStart w:id="0" w:name="_GoBack"/>
      <w:r>
        <w:rPr>
          <w:b/>
          <w:bCs/>
        </w:rPr>
        <w:t>LICENSE TO STORE NON-DANGEROUS PETROLEUM</w:t>
      </w:r>
      <w:bookmarkEnd w:id="0"/>
      <w:r>
        <w:rPr>
          <w:b/>
          <w:bCs/>
        </w:rPr>
        <w:t>, OTHERWISE</w:t>
      </w:r>
    </w:p>
    <w:p w:rsidR="001B5944" w:rsidRDefault="001B5944" w:rsidP="001B5944">
      <w:pPr>
        <w:jc w:val="center"/>
        <w:rPr>
          <w:b/>
          <w:bCs/>
        </w:rPr>
      </w:pPr>
      <w:r>
        <w:rPr>
          <w:b/>
          <w:bCs/>
        </w:rPr>
        <w:t>THAN IN BULK IN QUANTITY NOT EXCEEDING 5000 GALLONS.</w:t>
      </w:r>
    </w:p>
    <w:p w:rsidR="001B5944" w:rsidRDefault="001B5944" w:rsidP="001B5944">
      <w:pPr>
        <w:ind w:left="720"/>
        <w:jc w:val="center"/>
        <w:rPr>
          <w:b/>
          <w:bCs/>
        </w:rPr>
      </w:pPr>
    </w:p>
    <w:p w:rsidR="001B5944" w:rsidRDefault="001B5944" w:rsidP="001B5944">
      <w:pPr>
        <w:ind w:left="720"/>
        <w:jc w:val="center"/>
        <w:rPr>
          <w:b/>
          <w:bCs/>
        </w:rPr>
      </w:pPr>
    </w:p>
    <w:p w:rsidR="001B5944" w:rsidRDefault="001B5944" w:rsidP="001B5944">
      <w:pPr>
        <w:jc w:val="both"/>
      </w:pPr>
      <w:r>
        <w:t>No. ……………</w:t>
      </w:r>
      <w:r>
        <w:tab/>
        <w:t xml:space="preserve"> </w:t>
      </w:r>
      <w:r>
        <w:tab/>
      </w:r>
      <w:r>
        <w:tab/>
      </w:r>
      <w:r>
        <w:tab/>
      </w:r>
      <w:r>
        <w:tab/>
      </w:r>
      <w:r>
        <w:tab/>
      </w:r>
      <w:r>
        <w:tab/>
        <w:t xml:space="preserve">Fee </w:t>
      </w:r>
      <w:proofErr w:type="spellStart"/>
      <w:r>
        <w:t>Rs</w:t>
      </w:r>
      <w:proofErr w:type="spellEnd"/>
      <w:r>
        <w:t>……………</w:t>
      </w:r>
    </w:p>
    <w:p w:rsidR="001B5944" w:rsidRDefault="001B5944" w:rsidP="001B5944">
      <w:pPr>
        <w:spacing w:line="360" w:lineRule="auto"/>
        <w:jc w:val="both"/>
      </w:pPr>
    </w:p>
    <w:p w:rsidR="001B5944" w:rsidRDefault="001B5944" w:rsidP="001B5944">
      <w:pPr>
        <w:ind w:firstLine="720"/>
      </w:pPr>
      <w:r>
        <w:t xml:space="preserve">License is hereby granted to ……………………………………….. </w:t>
      </w:r>
      <w:proofErr w:type="gramStart"/>
      <w:r>
        <w:t>valid</w:t>
      </w:r>
      <w:proofErr w:type="gramEnd"/>
      <w:r>
        <w:t xml:space="preserve"> only for the storage of …………………gallons of non-dangerous petroleum in the storage shed </w:t>
      </w:r>
    </w:p>
    <w:p w:rsidR="001B5944" w:rsidRDefault="001B5944" w:rsidP="001B5944">
      <w:proofErr w:type="gramStart"/>
      <w:r>
        <w:t>described</w:t>
      </w:r>
      <w:proofErr w:type="gramEnd"/>
      <w:r>
        <w:t xml:space="preserve"> below, subject to the provisions of the petroleum Act, 1934, and the rules made there under and to the further conditions on the back of this license.</w:t>
      </w:r>
    </w:p>
    <w:p w:rsidR="001B5944" w:rsidRDefault="001B5944" w:rsidP="001B5944"/>
    <w:p w:rsidR="001B5944" w:rsidRDefault="001B5944" w:rsidP="001B5944">
      <w:r>
        <w:t>This license shall remain in force till the 31</w:t>
      </w:r>
      <w:r>
        <w:rPr>
          <w:vertAlign w:val="superscript"/>
        </w:rPr>
        <w:t>st</w:t>
      </w:r>
      <w:r>
        <w:t xml:space="preserve"> day of December 19</w:t>
      </w:r>
      <w:proofErr w:type="gramStart"/>
      <w:r>
        <w:t>………</w:t>
      </w:r>
      <w:proofErr w:type="gramEnd"/>
    </w:p>
    <w:p w:rsidR="001B5944" w:rsidRDefault="001B5944" w:rsidP="001B5944"/>
    <w:p w:rsidR="001B5944" w:rsidRDefault="001B5944" w:rsidP="001B5944">
      <w:r>
        <w:t>The …………………19…………</w:t>
      </w:r>
    </w:p>
    <w:p w:rsidR="001B5944" w:rsidRDefault="001B5944" w:rsidP="001B5944">
      <w:pPr>
        <w:jc w:val="right"/>
      </w:pPr>
    </w:p>
    <w:p w:rsidR="001B5944" w:rsidRPr="00062752" w:rsidRDefault="001B5944" w:rsidP="001B5944">
      <w:pPr>
        <w:spacing w:line="360" w:lineRule="auto"/>
        <w:jc w:val="right"/>
        <w:rPr>
          <w:i/>
        </w:rPr>
      </w:pPr>
      <w:r w:rsidRPr="00062752">
        <w:rPr>
          <w:i/>
        </w:rPr>
        <w:t>The District Authority</w:t>
      </w:r>
    </w:p>
    <w:p w:rsidR="001B5944" w:rsidRDefault="001B5944" w:rsidP="001B5944">
      <w:pPr>
        <w:spacing w:line="360" w:lineRule="auto"/>
        <w:jc w:val="both"/>
      </w:pPr>
    </w:p>
    <w:p w:rsidR="001B5944" w:rsidRDefault="001B5944" w:rsidP="001B5944">
      <w:pPr>
        <w:spacing w:line="360" w:lineRule="auto"/>
        <w:jc w:val="center"/>
        <w:rPr>
          <w:b/>
          <w:bCs/>
        </w:rPr>
      </w:pPr>
      <w:r>
        <w:rPr>
          <w:b/>
          <w:bCs/>
        </w:rPr>
        <w:t>Description and location of the storage shed referred to above.</w:t>
      </w:r>
    </w:p>
    <w:tbl>
      <w:tblPr>
        <w:tblW w:w="486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3"/>
        <w:gridCol w:w="1920"/>
        <w:gridCol w:w="4995"/>
      </w:tblGrid>
      <w:tr w:rsidR="001B5944" w:rsidRPr="00FB6E6D" w:rsidTr="00B24361">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pPr>
              <w:jc w:val="center"/>
            </w:pPr>
            <w:r w:rsidRPr="00FB6E6D">
              <w:t>Date of renewal</w:t>
            </w:r>
          </w:p>
        </w:tc>
        <w:tc>
          <w:tcPr>
            <w:tcW w:w="1039"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pPr>
              <w:jc w:val="center"/>
            </w:pPr>
            <w:r w:rsidRPr="00FB6E6D">
              <w:t>Date of expiry</w:t>
            </w:r>
          </w:p>
        </w:tc>
        <w:tc>
          <w:tcPr>
            <w:tcW w:w="2721"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pPr>
              <w:jc w:val="center"/>
            </w:pPr>
            <w:r w:rsidRPr="00FB6E6D">
              <w:t>Signature licensing authority</w:t>
            </w:r>
          </w:p>
        </w:tc>
      </w:tr>
      <w:tr w:rsidR="001B5944" w:rsidRPr="00FB6E6D" w:rsidTr="00B24361">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r w:rsidRPr="00FB6E6D">
              <w:t> </w:t>
            </w:r>
          </w:p>
          <w:p w:rsidR="001B5944" w:rsidRPr="00FB6E6D" w:rsidRDefault="001B5944" w:rsidP="00B24361">
            <w:r w:rsidRPr="00FB6E6D">
              <w:t> </w:t>
            </w:r>
          </w:p>
        </w:tc>
        <w:tc>
          <w:tcPr>
            <w:tcW w:w="1039"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r w:rsidRPr="00FB6E6D">
              <w:t> </w:t>
            </w:r>
          </w:p>
        </w:tc>
        <w:tc>
          <w:tcPr>
            <w:tcW w:w="2721" w:type="pct"/>
            <w:tcBorders>
              <w:top w:val="outset" w:sz="6" w:space="0" w:color="auto"/>
              <w:left w:val="outset" w:sz="6" w:space="0" w:color="auto"/>
              <w:bottom w:val="outset" w:sz="6" w:space="0" w:color="auto"/>
              <w:right w:val="outset" w:sz="6" w:space="0" w:color="auto"/>
            </w:tcBorders>
            <w:vAlign w:val="center"/>
          </w:tcPr>
          <w:p w:rsidR="001B5944" w:rsidRPr="00FB6E6D" w:rsidRDefault="001B5944" w:rsidP="00B24361">
            <w:r w:rsidRPr="00FB6E6D">
              <w:t> </w:t>
            </w:r>
          </w:p>
        </w:tc>
      </w:tr>
    </w:tbl>
    <w:p w:rsidR="001B5944" w:rsidRDefault="001B5944" w:rsidP="001B5944">
      <w:pPr>
        <w:pStyle w:val="BodyText"/>
      </w:pPr>
    </w:p>
    <w:p w:rsidR="001B5944" w:rsidRDefault="001B5944" w:rsidP="001B5944">
      <w:pPr>
        <w:pStyle w:val="BodyText"/>
        <w:ind w:firstLine="720"/>
        <w:rPr>
          <w:sz w:val="24"/>
        </w:rPr>
      </w:pPr>
      <w:proofErr w:type="gramStart"/>
      <w:r w:rsidRPr="00062752">
        <w:rPr>
          <w:sz w:val="24"/>
        </w:rPr>
        <w:t>This license is liable to be cancelled if the license premises, when inspected, are not found conforming to the description and condition attached hereto and contravention of any of the rules and condition under which this license is granted is also punishable with fine which may extend to five hundred rupees for the first offence and which may extend to two thousand rupees for any subsequent offence.</w:t>
      </w:r>
      <w:proofErr w:type="gramEnd"/>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ind w:firstLine="720"/>
        <w:rPr>
          <w:sz w:val="24"/>
        </w:rPr>
      </w:pPr>
    </w:p>
    <w:p w:rsidR="001B5944" w:rsidRDefault="001B5944" w:rsidP="001B5944">
      <w:pPr>
        <w:pStyle w:val="BodyText"/>
      </w:pPr>
    </w:p>
    <w:p w:rsidR="00E2606B" w:rsidRDefault="001B5944" w:rsidP="001B5944">
      <w:pPr>
        <w:pStyle w:val="BodyText"/>
        <w:jc w:val="center"/>
      </w:pPr>
      <w:r>
        <w:t>--------------------------------</w:t>
      </w:r>
    </w:p>
    <w:sectPr w:rsidR="00E260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24" w:rsidRDefault="00117124" w:rsidP="001B5944">
      <w:r>
        <w:separator/>
      </w:r>
    </w:p>
  </w:endnote>
  <w:endnote w:type="continuationSeparator" w:id="0">
    <w:p w:rsidR="00117124" w:rsidRDefault="00117124" w:rsidP="001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24" w:rsidRDefault="00117124" w:rsidP="001B5944">
      <w:r>
        <w:separator/>
      </w:r>
    </w:p>
  </w:footnote>
  <w:footnote w:type="continuationSeparator" w:id="0">
    <w:p w:rsidR="00117124" w:rsidRDefault="00117124" w:rsidP="001B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44" w:rsidRDefault="001B5944">
    <w:pPr>
      <w:pStyle w:val="Header"/>
    </w:pPr>
    <w:r>
      <w:t>The Petroleum Rules 1937</w:t>
    </w:r>
    <w:r>
      <w:tab/>
    </w:r>
    <w:r>
      <w:tab/>
      <w:t>Page # 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4"/>
    <w:rsid w:val="00117124"/>
    <w:rsid w:val="001B5944"/>
    <w:rsid w:val="002549D7"/>
    <w:rsid w:val="0035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8787"/>
  <w15:chartTrackingRefBased/>
  <w15:docId w15:val="{4D7C01D4-0C42-441E-8015-E863B78E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B59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B5944"/>
    <w:rPr>
      <w:rFonts w:ascii="Times New Roman" w:eastAsia="Times New Roman" w:hAnsi="Times New Roman" w:cs="Times New Roman"/>
      <w:b/>
      <w:bCs/>
      <w:i/>
      <w:iCs/>
      <w:sz w:val="26"/>
      <w:szCs w:val="26"/>
    </w:rPr>
  </w:style>
  <w:style w:type="paragraph" w:styleId="BodyText">
    <w:name w:val="Body Text"/>
    <w:basedOn w:val="Normal"/>
    <w:link w:val="BodyTextChar"/>
    <w:rsid w:val="001B5944"/>
    <w:pPr>
      <w:tabs>
        <w:tab w:val="left" w:pos="540"/>
        <w:tab w:val="left" w:pos="1080"/>
        <w:tab w:val="left" w:pos="1620"/>
        <w:tab w:val="left" w:pos="2160"/>
        <w:tab w:val="left" w:pos="2700"/>
        <w:tab w:val="left" w:pos="3240"/>
        <w:tab w:val="left" w:pos="3780"/>
      </w:tabs>
    </w:pPr>
    <w:rPr>
      <w:sz w:val="22"/>
    </w:rPr>
  </w:style>
  <w:style w:type="character" w:customStyle="1" w:styleId="BodyTextChar">
    <w:name w:val="Body Text Char"/>
    <w:basedOn w:val="DefaultParagraphFont"/>
    <w:link w:val="BodyText"/>
    <w:rsid w:val="001B5944"/>
    <w:rPr>
      <w:rFonts w:ascii="Times New Roman" w:eastAsia="Times New Roman" w:hAnsi="Times New Roman" w:cs="Times New Roman"/>
      <w:szCs w:val="24"/>
    </w:rPr>
  </w:style>
  <w:style w:type="paragraph" w:styleId="Header">
    <w:name w:val="header"/>
    <w:basedOn w:val="Normal"/>
    <w:link w:val="HeaderChar"/>
    <w:uiPriority w:val="99"/>
    <w:unhideWhenUsed/>
    <w:rsid w:val="001B5944"/>
    <w:pPr>
      <w:tabs>
        <w:tab w:val="center" w:pos="4680"/>
        <w:tab w:val="right" w:pos="9360"/>
      </w:tabs>
    </w:pPr>
  </w:style>
  <w:style w:type="character" w:customStyle="1" w:styleId="HeaderChar">
    <w:name w:val="Header Char"/>
    <w:basedOn w:val="DefaultParagraphFont"/>
    <w:link w:val="Header"/>
    <w:uiPriority w:val="99"/>
    <w:rsid w:val="001B59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5944"/>
    <w:pPr>
      <w:tabs>
        <w:tab w:val="center" w:pos="4680"/>
        <w:tab w:val="right" w:pos="9360"/>
      </w:tabs>
    </w:pPr>
  </w:style>
  <w:style w:type="character" w:customStyle="1" w:styleId="FooterChar">
    <w:name w:val="Footer Char"/>
    <w:basedOn w:val="DefaultParagraphFont"/>
    <w:link w:val="Footer"/>
    <w:uiPriority w:val="99"/>
    <w:rsid w:val="001B59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850 G 3</dc:creator>
  <cp:keywords/>
  <dc:description/>
  <cp:lastModifiedBy>HP ELITEBOOK 850 G 3</cp:lastModifiedBy>
  <cp:revision>1</cp:revision>
  <dcterms:created xsi:type="dcterms:W3CDTF">2022-09-30T11:08:00Z</dcterms:created>
  <dcterms:modified xsi:type="dcterms:W3CDTF">2022-09-30T11:09:00Z</dcterms:modified>
</cp:coreProperties>
</file>